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00FCE57"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267ECE" w:rsidRPr="00267ECE">
        <w:rPr>
          <w:b/>
          <w:bCs/>
          <w:color w:val="auto"/>
        </w:rPr>
        <w:t>3.2-5/25/1114-1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3BA89D0D" w:rsidR="00F064EC" w:rsidRDefault="00DA3C16" w:rsidP="00F064EC">
      <w:pPr>
        <w:pStyle w:val="Default"/>
        <w:jc w:val="both"/>
      </w:pPr>
      <w:sdt>
        <w:sdtPr>
          <w:rPr>
            <w:b/>
            <w:bCs/>
            <w:color w:val="auto"/>
          </w:rPr>
          <w:id w:val="-324509853"/>
          <w:placeholder>
            <w:docPart w:val="B77AE6694B334064B45B00FAB68BB7FB"/>
          </w:placeholder>
          <w:text/>
        </w:sdtPr>
        <w:sdtEndPr/>
        <w:sdtContent>
          <w:r w:rsidR="00F64081" w:rsidRPr="00F64081">
            <w:rPr>
              <w:b/>
              <w:bCs/>
              <w:color w:val="auto"/>
            </w:rPr>
            <w:t>OÜ ALMIC</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F64081" w:rsidRPr="00F64081">
            <w:rPr>
              <w:color w:val="auto"/>
            </w:rPr>
            <w:t>10890199</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F64081" w:rsidRPr="00F64081">
            <w:rPr>
              <w:color w:val="auto"/>
            </w:rPr>
            <w:t>Järvevana tee 9f, 11314</w:t>
          </w:r>
          <w:r w:rsidR="00F64081">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F64081" w:rsidRPr="00F64081">
            <w:rPr>
              <w:color w:val="auto"/>
            </w:rPr>
            <w:t>Riho Piik</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0B376983" w14:textId="36E2F833" w:rsidR="005618B6" w:rsidRDefault="005618B6" w:rsidP="00152CA1">
      <w:pPr>
        <w:pStyle w:val="Default"/>
        <w:numPr>
          <w:ilvl w:val="1"/>
          <w:numId w:val="4"/>
        </w:numPr>
        <w:ind w:left="709" w:hanging="709"/>
        <w:jc w:val="both"/>
        <w:rPr>
          <w:color w:val="auto"/>
        </w:rPr>
      </w:pPr>
      <w:r w:rsidRPr="005618B6">
        <w:rPr>
          <w:color w:val="auto"/>
        </w:rPr>
        <w:t>Lepingu eesmärk on kasutada andmeid e-veoselehtedele sõiduki kandevõime kuvamiseks, et oleks võimalik üle lubatud kaaluga koormaid eesmärgipäraselt tuvastada.</w:t>
      </w:r>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3F34419A"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F64081">
            <w:rPr>
              <w:color w:val="auto"/>
            </w:rPr>
            <w:t>punktis 3 ristiga tähistatud tagastatavas andmegrupis</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5E2C7FC5"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 AVP </w:t>
      </w:r>
      <w:r w:rsidR="00AF6959" w:rsidRPr="00DB2003">
        <w:rPr>
          <w:color w:val="auto"/>
        </w:rPr>
        <w:t>paketist ja valitud andmegruppide arvust</w:t>
      </w:r>
      <w:r w:rsidR="005F511E" w:rsidRPr="00DB2003">
        <w:rPr>
          <w:color w:val="auto"/>
        </w:rPr>
        <w:t>.</w:t>
      </w:r>
    </w:p>
    <w:p w14:paraId="541F4387" w14:textId="1AA1F2E7"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6B87FB94" w:rsidR="00152CA1" w:rsidRPr="00F26B29" w:rsidRDefault="00152CA1" w:rsidP="00152CA1">
      <w:pPr>
        <w:pStyle w:val="Default"/>
        <w:numPr>
          <w:ilvl w:val="1"/>
          <w:numId w:val="4"/>
        </w:numPr>
        <w:ind w:left="709" w:hanging="709"/>
        <w:jc w:val="both"/>
        <w:rPr>
          <w:color w:val="auto"/>
        </w:rPr>
      </w:pPr>
      <w:r w:rsidRPr="00F26B29">
        <w:rPr>
          <w:rStyle w:val="normaltextrun"/>
          <w:color w:val="auto"/>
        </w:rPr>
        <w:t xml:space="preserve">Arve tuleb esitada 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2EBB383E" w14:textId="77777777" w:rsidR="005618B6" w:rsidRPr="00F26B29" w:rsidRDefault="005618B6"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5C3EF8D5"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sdtContent>
      </w:sdt>
      <w:r w:rsidRPr="005F0D47">
        <w:rPr>
          <w:rFonts w:ascii="Times New Roman" w:hAnsi="Times New Roman" w:cs="Times New Roman"/>
          <w:sz w:val="24"/>
        </w:rPr>
        <w:t>.</w:t>
      </w:r>
    </w:p>
    <w:p w14:paraId="10962F61" w14:textId="76DCF4BE"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F64081" w:rsidRPr="00F64081">
            <w:rPr>
              <w:rFonts w:ascii="Times New Roman" w:hAnsi="Times New Roman" w:cs="Times New Roman"/>
              <w:sz w:val="24"/>
            </w:rPr>
            <w:t>Riho Piik</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F64081" w:rsidRPr="00F64081">
            <w:rPr>
              <w:rFonts w:ascii="Times New Roman" w:hAnsi="Times New Roman" w:cs="Times New Roman"/>
              <w:sz w:val="24"/>
            </w:rPr>
            <w:t>6461 078</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F64081" w:rsidRPr="00FF4A85">
              <w:rPr>
                <w:rStyle w:val="Hperlink"/>
                <w:rFonts w:ascii="Times New Roman" w:hAnsi="Times New Roman" w:cs="Times New Roman"/>
                <w:sz w:val="24"/>
              </w:rPr>
              <w:t>riho.piik@almic.ee</w:t>
            </w:r>
          </w:hyperlink>
          <w:r w:rsidR="00DA3C16">
            <w:rPr>
              <w:rStyle w:val="Hperlink"/>
              <w:rFonts w:ascii="Times New Roman" w:hAnsi="Times New Roman" w:cs="Times New Roman"/>
              <w:sz w:val="24"/>
            </w:rPr>
            <w:t>.</w:t>
          </w:r>
          <w:r w:rsidR="00F64081">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0509221A" w14:textId="1A03C282" w:rsidR="00F064EC" w:rsidRDefault="003B0A1C" w:rsidP="004B5A1D">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4D7C0260"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F64081">
            <w:rPr>
              <w:rFonts w:ascii="Times New Roman" w:hAnsi="Times New Roman" w:cs="Times New Roman"/>
              <w:sz w:val="24"/>
              <w:szCs w:val="24"/>
            </w:rPr>
            <w:t>Pakett 2</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37494F4C" w:rsidR="00F71327" w:rsidRPr="00E4151C" w:rsidRDefault="00DA3C16"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E4151C">
        <w:rPr>
          <w:rFonts w:ascii="Times New Roman" w:hAnsi="Times New Roman" w:cs="Times New Roman"/>
          <w:bCs/>
          <w:sz w:val="24"/>
          <w:szCs w:val="24"/>
        </w:rPr>
        <w:t xml:space="preserve"> Sõiduki VIN</w:t>
      </w:r>
      <w:r w:rsidR="00D90E11">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63F177F0" w:rsidR="00F71327" w:rsidRPr="00E4151C" w:rsidRDefault="00DA3C16"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F64081">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DA3C16"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DA3C16"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DA3C16"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39C5F37B" w14:textId="77777777" w:rsidR="00F71327" w:rsidRDefault="00F71327" w:rsidP="006853C4">
      <w:pPr>
        <w:pStyle w:val="Loendilik"/>
        <w:autoSpaceDE w:val="0"/>
        <w:autoSpaceDN w:val="0"/>
        <w:adjustRightInd w:val="0"/>
        <w:spacing w:after="0" w:line="240" w:lineRule="auto"/>
        <w:ind w:left="360"/>
        <w:rPr>
          <w:rFonts w:ascii="Times New Roman" w:hAnsi="Times New Roman"/>
          <w:sz w:val="24"/>
          <w:szCs w:val="24"/>
        </w:rPr>
      </w:pPr>
    </w:p>
    <w:p w14:paraId="6836C1AB" w14:textId="1E348AC4"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F64081">
            <w:rPr>
              <w:rFonts w:ascii="Times New Roman" w:hAnsi="Times New Roman"/>
              <w:sz w:val="24"/>
              <w:szCs w:val="24"/>
            </w:rPr>
            <w:t>üksikkorras" järgnev andmegrupp</w:t>
          </w:r>
        </w:sdtContent>
      </w:sdt>
    </w:p>
    <w:p w14:paraId="2F095D8E" w14:textId="17B0A726" w:rsidR="00D151AA" w:rsidRPr="00883ACE" w:rsidRDefault="00D151AA" w:rsidP="00883ACE">
      <w:pPr>
        <w:autoSpaceDE w:val="0"/>
        <w:autoSpaceDN w:val="0"/>
        <w:adjustRightInd w:val="0"/>
        <w:spacing w:after="0" w:line="240" w:lineRule="auto"/>
        <w:rPr>
          <w:rFonts w:ascii="Times New Roman" w:hAnsi="Times New Roman"/>
          <w:sz w:val="24"/>
          <w:szCs w:val="24"/>
        </w:rPr>
      </w:pPr>
    </w:p>
    <w:p w14:paraId="414F7E77" w14:textId="3DAF9BFD" w:rsidR="0039724E" w:rsidRDefault="00DA3C16"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0"/>
            <w14:checkedState w14:val="2612" w14:font="MS Gothic"/>
            <w14:uncheckedState w14:val="2610" w14:font="MS Gothic"/>
          </w14:checkbox>
        </w:sdtPr>
        <w:sdtEndPr/>
        <w:sdtContent>
          <w:r w:rsidR="0039724E">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467CBDF3" w:rsidR="0039724E" w:rsidRDefault="00DA3C16"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F64081">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DA3C16"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DA3C16"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DA3C16"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7777777" w:rsidR="00C93DF4" w:rsidRDefault="00DA3C16"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B63A16"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E71734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DA3C16"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DA3C16"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52CA1"/>
    <w:rsid w:val="0015576F"/>
    <w:rsid w:val="001566CE"/>
    <w:rsid w:val="001659B8"/>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67ECE"/>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3EF1"/>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18B6"/>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405F2"/>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11F8"/>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0E11"/>
    <w:rsid w:val="00D91715"/>
    <w:rsid w:val="00D976BE"/>
    <w:rsid w:val="00DA3C16"/>
    <w:rsid w:val="00DB2003"/>
    <w:rsid w:val="00DC4CA7"/>
    <w:rsid w:val="00DC6F5B"/>
    <w:rsid w:val="00DD4E73"/>
    <w:rsid w:val="00DE3099"/>
    <w:rsid w:val="00DE4603"/>
    <w:rsid w:val="00DF0540"/>
    <w:rsid w:val="00DF1D2C"/>
    <w:rsid w:val="00E04946"/>
    <w:rsid w:val="00E10D90"/>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4081"/>
    <w:rsid w:val="00F667E9"/>
    <w:rsid w:val="00F71327"/>
    <w:rsid w:val="00F73114"/>
    <w:rsid w:val="00F81B99"/>
    <w:rsid w:val="00F85AF1"/>
    <w:rsid w:val="00F933B8"/>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0924843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ho.piik@almic.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59B8"/>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E4CFF"/>
    <w:rsid w:val="003E73C7"/>
    <w:rsid w:val="003E7A44"/>
    <w:rsid w:val="003F6C21"/>
    <w:rsid w:val="00401FA0"/>
    <w:rsid w:val="0046374C"/>
    <w:rsid w:val="004B3EF1"/>
    <w:rsid w:val="004C3253"/>
    <w:rsid w:val="004C6FC8"/>
    <w:rsid w:val="00515CBB"/>
    <w:rsid w:val="005B20F7"/>
    <w:rsid w:val="005D7EF4"/>
    <w:rsid w:val="005E78BE"/>
    <w:rsid w:val="00611209"/>
    <w:rsid w:val="006633CC"/>
    <w:rsid w:val="0067311A"/>
    <w:rsid w:val="0067485D"/>
    <w:rsid w:val="006A0131"/>
    <w:rsid w:val="006B26D1"/>
    <w:rsid w:val="006B66F5"/>
    <w:rsid w:val="006F1A7E"/>
    <w:rsid w:val="00737144"/>
    <w:rsid w:val="007A573C"/>
    <w:rsid w:val="007A7224"/>
    <w:rsid w:val="007B0C6C"/>
    <w:rsid w:val="007C2A3B"/>
    <w:rsid w:val="007F0E34"/>
    <w:rsid w:val="007F62B9"/>
    <w:rsid w:val="008A5FD3"/>
    <w:rsid w:val="008B2BF3"/>
    <w:rsid w:val="008D6286"/>
    <w:rsid w:val="00937036"/>
    <w:rsid w:val="009405F2"/>
    <w:rsid w:val="00961EA6"/>
    <w:rsid w:val="00962D87"/>
    <w:rsid w:val="00976FF5"/>
    <w:rsid w:val="009D4863"/>
    <w:rsid w:val="009F38E0"/>
    <w:rsid w:val="00A56055"/>
    <w:rsid w:val="00AA3C17"/>
    <w:rsid w:val="00AE11F8"/>
    <w:rsid w:val="00AF1054"/>
    <w:rsid w:val="00AF615E"/>
    <w:rsid w:val="00B07B7A"/>
    <w:rsid w:val="00B25599"/>
    <w:rsid w:val="00B37535"/>
    <w:rsid w:val="00B831EA"/>
    <w:rsid w:val="00B85BB3"/>
    <w:rsid w:val="00BC34AC"/>
    <w:rsid w:val="00BD42C5"/>
    <w:rsid w:val="00C867FA"/>
    <w:rsid w:val="00CE185E"/>
    <w:rsid w:val="00D207DD"/>
    <w:rsid w:val="00D74536"/>
    <w:rsid w:val="00D92930"/>
    <w:rsid w:val="00DC088D"/>
    <w:rsid w:val="00E734BC"/>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2332</Words>
  <Characters>13526</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2025-06-18T10:56:00Z</dcterms:created>
  <dcterms:modified xsi:type="dcterms:W3CDTF">2025-07-15T13:29:00Z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